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95" w:rsidRDefault="006A0B29">
      <w:pPr>
        <w:pStyle w:val="Nagwek1"/>
        <w:spacing w:line="274" w:lineRule="exact"/>
      </w:pPr>
      <w:bookmarkStart w:id="0" w:name="_GoBack"/>
      <w:bookmarkEnd w:id="0"/>
      <w:r>
        <w:t>Zasady uznawania punktów kredytowych uzyskanych w trakcie wymiany zagranicznej</w:t>
      </w:r>
    </w:p>
    <w:p w:rsidR="001A7095" w:rsidRDefault="001A7095">
      <w:pPr>
        <w:pStyle w:val="Tekstpodstawowy"/>
        <w:ind w:left="0"/>
      </w:pPr>
    </w:p>
    <w:p w:rsidR="001A7095" w:rsidRDefault="006A0B29">
      <w:pPr>
        <w:pStyle w:val="Akapitzlist"/>
        <w:numPr>
          <w:ilvl w:val="0"/>
          <w:numId w:val="1"/>
        </w:numPr>
        <w:tabs>
          <w:tab w:val="left" w:pos="476"/>
        </w:tabs>
        <w:spacing w:before="0"/>
        <w:ind w:right="110"/>
        <w:jc w:val="both"/>
        <w:rPr>
          <w:sz w:val="24"/>
        </w:rPr>
      </w:pPr>
      <w:r>
        <w:rPr>
          <w:sz w:val="24"/>
        </w:rPr>
        <w:t>Do indeksu wpisywane są kursy zgodnie z uzgodnionym programem Indywidualne</w:t>
      </w:r>
      <w:r w:rsidR="003D7A4C">
        <w:rPr>
          <w:sz w:val="24"/>
        </w:rPr>
        <w:t xml:space="preserve">j Organizacji </w:t>
      </w:r>
      <w:r>
        <w:rPr>
          <w:sz w:val="24"/>
        </w:rPr>
        <w:t>Studiów</w:t>
      </w:r>
      <w:r w:rsidR="003D7A4C">
        <w:rPr>
          <w:sz w:val="24"/>
        </w:rPr>
        <w:t xml:space="preserve"> (IOS)</w:t>
      </w:r>
      <w:r>
        <w:rPr>
          <w:sz w:val="24"/>
        </w:rPr>
        <w:t>. Punkty ECTS przydzielane są zgodnie z zaświadczeniem wystawionym przez uczelnię partnerską (</w:t>
      </w:r>
      <w:proofErr w:type="spellStart"/>
      <w:r>
        <w:rPr>
          <w:sz w:val="24"/>
        </w:rPr>
        <w:t>Transcript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Records</w:t>
      </w:r>
      <w:proofErr w:type="spellEnd"/>
      <w:r>
        <w:rPr>
          <w:sz w:val="24"/>
        </w:rPr>
        <w:t xml:space="preserve">). Dotyczy to </w:t>
      </w:r>
      <w:r w:rsidR="003D7A4C">
        <w:rPr>
          <w:sz w:val="24"/>
        </w:rPr>
        <w:t>również</w:t>
      </w:r>
      <w:r>
        <w:rPr>
          <w:sz w:val="24"/>
        </w:rPr>
        <w:t xml:space="preserve"> kredytów ułamkowych.</w:t>
      </w:r>
    </w:p>
    <w:p w:rsidR="001A7095" w:rsidRDefault="006A0B29">
      <w:pPr>
        <w:pStyle w:val="Akapitzlist"/>
        <w:numPr>
          <w:ilvl w:val="0"/>
          <w:numId w:val="1"/>
        </w:numPr>
        <w:tabs>
          <w:tab w:val="left" w:pos="477"/>
        </w:tabs>
        <w:spacing w:before="121"/>
        <w:ind w:right="109"/>
        <w:jc w:val="both"/>
        <w:rPr>
          <w:sz w:val="24"/>
        </w:rPr>
      </w:pPr>
      <w:r>
        <w:rPr>
          <w:sz w:val="24"/>
        </w:rPr>
        <w:t>Nazwy kursów wpisywane są do indeksu według brzmienia oryginalnego z „</w:t>
      </w:r>
      <w:proofErr w:type="spellStart"/>
      <w:r>
        <w:rPr>
          <w:sz w:val="24"/>
        </w:rPr>
        <w:t>Transcript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Records</w:t>
      </w:r>
      <w:proofErr w:type="spellEnd"/>
      <w:r>
        <w:rPr>
          <w:sz w:val="24"/>
        </w:rPr>
        <w:t>” wystawionego przez uczelnię partnerską wraz z tłumaczeniem na język</w:t>
      </w:r>
      <w:r>
        <w:rPr>
          <w:spacing w:val="-15"/>
          <w:sz w:val="24"/>
        </w:rPr>
        <w:t xml:space="preserve"> </w:t>
      </w:r>
      <w:r>
        <w:rPr>
          <w:sz w:val="24"/>
        </w:rPr>
        <w:t>polski.</w:t>
      </w:r>
    </w:p>
    <w:p w:rsidR="001A7095" w:rsidRDefault="003D7A4C">
      <w:pPr>
        <w:pStyle w:val="Akapitzlist"/>
        <w:numPr>
          <w:ilvl w:val="0"/>
          <w:numId w:val="1"/>
        </w:numPr>
        <w:tabs>
          <w:tab w:val="left" w:pos="476"/>
        </w:tabs>
        <w:ind w:right="108"/>
        <w:jc w:val="both"/>
        <w:rPr>
          <w:sz w:val="24"/>
        </w:rPr>
      </w:pPr>
      <w:r>
        <w:rPr>
          <w:sz w:val="24"/>
        </w:rPr>
        <w:t>Przedmioty nie ujęte w IO</w:t>
      </w:r>
      <w:r w:rsidR="006A0B29">
        <w:rPr>
          <w:sz w:val="24"/>
        </w:rPr>
        <w:t xml:space="preserve">S nie są przepisywane, nie są </w:t>
      </w:r>
      <w:r>
        <w:rPr>
          <w:sz w:val="24"/>
        </w:rPr>
        <w:t>również</w:t>
      </w:r>
      <w:r w:rsidR="006A0B29">
        <w:rPr>
          <w:sz w:val="24"/>
        </w:rPr>
        <w:t xml:space="preserve"> uznawane przypisane nim punkty ECTS. Student </w:t>
      </w:r>
      <w:r>
        <w:rPr>
          <w:sz w:val="24"/>
        </w:rPr>
        <w:t>może uzgodnić zmiany IO</w:t>
      </w:r>
      <w:r w:rsidR="006A0B29">
        <w:rPr>
          <w:sz w:val="24"/>
        </w:rPr>
        <w:t xml:space="preserve">S po powrocie z zagranicy, uzgadniając w ten sposób </w:t>
      </w:r>
      <w:r>
        <w:rPr>
          <w:sz w:val="24"/>
        </w:rPr>
        <w:t>również</w:t>
      </w:r>
      <w:r w:rsidR="006A0B29">
        <w:rPr>
          <w:sz w:val="24"/>
        </w:rPr>
        <w:t xml:space="preserve"> uznanie takich kursów</w:t>
      </w:r>
      <w:r w:rsidR="006A0B29">
        <w:rPr>
          <w:spacing w:val="-4"/>
          <w:sz w:val="24"/>
        </w:rPr>
        <w:t xml:space="preserve"> </w:t>
      </w:r>
      <w:r w:rsidR="006A0B29">
        <w:rPr>
          <w:sz w:val="24"/>
        </w:rPr>
        <w:t>dodatkowych.</w:t>
      </w:r>
    </w:p>
    <w:p w:rsidR="001A7095" w:rsidRDefault="006A0B29">
      <w:pPr>
        <w:pStyle w:val="Akapitzlist"/>
        <w:numPr>
          <w:ilvl w:val="0"/>
          <w:numId w:val="1"/>
        </w:numPr>
        <w:tabs>
          <w:tab w:val="left" w:pos="476"/>
        </w:tabs>
        <w:ind w:right="109"/>
        <w:jc w:val="both"/>
        <w:rPr>
          <w:sz w:val="24"/>
        </w:rPr>
      </w:pPr>
      <w:r>
        <w:rPr>
          <w:sz w:val="24"/>
        </w:rPr>
        <w:t>W przypadku, gdy uczelnia partnerska nie stosuje punktów ECTS, wprowadza się następujące zasady przeliczania</w:t>
      </w:r>
      <w:r>
        <w:rPr>
          <w:spacing w:val="-8"/>
          <w:sz w:val="24"/>
        </w:rPr>
        <w:t xml:space="preserve"> </w:t>
      </w:r>
      <w:r w:rsidR="003D7A4C">
        <w:rPr>
          <w:sz w:val="24"/>
        </w:rPr>
        <w:t>punktów</w:t>
      </w:r>
      <w:r>
        <w:rPr>
          <w:sz w:val="24"/>
        </w:rPr>
        <w:t>:</w:t>
      </w:r>
    </w:p>
    <w:p w:rsidR="001A7095" w:rsidRDefault="006A0B29">
      <w:pPr>
        <w:pStyle w:val="Akapitzlist"/>
        <w:numPr>
          <w:ilvl w:val="1"/>
          <w:numId w:val="1"/>
        </w:numPr>
        <w:tabs>
          <w:tab w:val="left" w:pos="1195"/>
          <w:tab w:val="left" w:pos="1197"/>
        </w:tabs>
        <w:spacing w:before="122" w:line="293" w:lineRule="exact"/>
        <w:ind w:hanging="361"/>
        <w:jc w:val="left"/>
        <w:rPr>
          <w:sz w:val="24"/>
        </w:rPr>
      </w:pPr>
      <w:r>
        <w:rPr>
          <w:sz w:val="24"/>
        </w:rPr>
        <w:t xml:space="preserve">1,5 pkt. kredytu SP = 1 </w:t>
      </w:r>
      <w:r w:rsidR="003D7A4C">
        <w:rPr>
          <w:sz w:val="24"/>
        </w:rPr>
        <w:t>punkt</w:t>
      </w:r>
      <w:r>
        <w:rPr>
          <w:sz w:val="24"/>
        </w:rPr>
        <w:t xml:space="preserve"> ECTS (wynik zaokrąglony do pełnych</w:t>
      </w:r>
      <w:r>
        <w:rPr>
          <w:spacing w:val="-14"/>
          <w:sz w:val="24"/>
        </w:rPr>
        <w:t xml:space="preserve"> </w:t>
      </w:r>
      <w:r>
        <w:rPr>
          <w:sz w:val="24"/>
        </w:rPr>
        <w:t>punktów),</w:t>
      </w:r>
    </w:p>
    <w:p w:rsidR="001A7095" w:rsidRDefault="006A0B29">
      <w:pPr>
        <w:pStyle w:val="Akapitzlist"/>
        <w:numPr>
          <w:ilvl w:val="1"/>
          <w:numId w:val="1"/>
        </w:numPr>
        <w:tabs>
          <w:tab w:val="left" w:pos="1195"/>
          <w:tab w:val="left" w:pos="1197"/>
        </w:tabs>
        <w:spacing w:before="0" w:line="293" w:lineRule="exact"/>
        <w:ind w:hanging="361"/>
        <w:jc w:val="left"/>
        <w:rPr>
          <w:sz w:val="24"/>
        </w:rPr>
      </w:pPr>
      <w:r>
        <w:rPr>
          <w:sz w:val="24"/>
        </w:rPr>
        <w:t xml:space="preserve">2 pkt. kredytu UK = 1 </w:t>
      </w:r>
      <w:r w:rsidR="003D7A4C">
        <w:rPr>
          <w:sz w:val="24"/>
        </w:rPr>
        <w:t>punkt</w:t>
      </w:r>
      <w:r>
        <w:rPr>
          <w:spacing w:val="-2"/>
          <w:sz w:val="24"/>
        </w:rPr>
        <w:t xml:space="preserve"> </w:t>
      </w:r>
      <w:r>
        <w:rPr>
          <w:sz w:val="24"/>
        </w:rPr>
        <w:t>ECTS,</w:t>
      </w:r>
    </w:p>
    <w:p w:rsidR="001A7095" w:rsidRDefault="006A0B29">
      <w:pPr>
        <w:pStyle w:val="Akapitzlist"/>
        <w:numPr>
          <w:ilvl w:val="1"/>
          <w:numId w:val="1"/>
        </w:numPr>
        <w:tabs>
          <w:tab w:val="left" w:pos="1195"/>
          <w:tab w:val="left" w:pos="1197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 xml:space="preserve">1 pkt. kredytu US = 2 </w:t>
      </w:r>
      <w:r w:rsidR="003D7A4C">
        <w:rPr>
          <w:sz w:val="24"/>
        </w:rPr>
        <w:t>punkty</w:t>
      </w:r>
      <w:r>
        <w:rPr>
          <w:spacing w:val="-4"/>
          <w:sz w:val="24"/>
        </w:rPr>
        <w:t xml:space="preserve"> </w:t>
      </w:r>
      <w:r>
        <w:rPr>
          <w:sz w:val="24"/>
        </w:rPr>
        <w:t>ECTS,</w:t>
      </w:r>
    </w:p>
    <w:p w:rsidR="003D7A4C" w:rsidRDefault="003D7A4C">
      <w:pPr>
        <w:pStyle w:val="Akapitzlist"/>
        <w:numPr>
          <w:ilvl w:val="1"/>
          <w:numId w:val="1"/>
        </w:numPr>
        <w:tabs>
          <w:tab w:val="left" w:pos="1195"/>
          <w:tab w:val="left" w:pos="1197"/>
        </w:tabs>
        <w:spacing w:before="0" w:line="293" w:lineRule="exact"/>
        <w:ind w:hanging="361"/>
        <w:jc w:val="left"/>
        <w:rPr>
          <w:sz w:val="24"/>
        </w:rPr>
      </w:pPr>
      <w:r w:rsidRPr="003D7A4C">
        <w:rPr>
          <w:sz w:val="24"/>
        </w:rPr>
        <w:t>15 godzin pracy studenta w czasie zajęć zorganizowa</w:t>
      </w:r>
      <w:r>
        <w:rPr>
          <w:sz w:val="24"/>
        </w:rPr>
        <w:t>nych w semestrze = 1 punkt ECTS.</w:t>
      </w:r>
    </w:p>
    <w:p w:rsidR="001A7095" w:rsidRDefault="003D7A4C">
      <w:pPr>
        <w:pStyle w:val="Tekstpodstawowy"/>
        <w:spacing w:before="117"/>
      </w:pPr>
      <w:r>
        <w:t>Jeżeli</w:t>
      </w:r>
      <w:r w:rsidR="006A0B29">
        <w:t xml:space="preserve"> zastosowanie ma więcej </w:t>
      </w:r>
      <w:r>
        <w:t>niż</w:t>
      </w:r>
      <w:r w:rsidR="006A0B29">
        <w:t xml:space="preserve"> jedna z </w:t>
      </w:r>
      <w:r>
        <w:t>powyższych</w:t>
      </w:r>
      <w:r w:rsidR="006A0B29">
        <w:t xml:space="preserve"> zasad, stosuje się wymienioną najwcześniej.</w:t>
      </w:r>
    </w:p>
    <w:p w:rsidR="001A7095" w:rsidRDefault="006A0B29">
      <w:pPr>
        <w:pStyle w:val="Akapitzlist"/>
        <w:numPr>
          <w:ilvl w:val="0"/>
          <w:numId w:val="1"/>
        </w:numPr>
        <w:tabs>
          <w:tab w:val="left" w:pos="476"/>
        </w:tabs>
        <w:ind w:right="109"/>
        <w:jc w:val="both"/>
        <w:rPr>
          <w:sz w:val="24"/>
        </w:rPr>
      </w:pPr>
      <w:r>
        <w:rPr>
          <w:sz w:val="24"/>
        </w:rPr>
        <w:t>Nie przepisuje się kursów niezdanych (</w:t>
      </w:r>
      <w:proofErr w:type="spellStart"/>
      <w:r>
        <w:rPr>
          <w:sz w:val="24"/>
        </w:rPr>
        <w:t>fail</w:t>
      </w:r>
      <w:proofErr w:type="spellEnd"/>
      <w:r>
        <w:rPr>
          <w:sz w:val="24"/>
        </w:rPr>
        <w:t>) według kryteriów uczelni partnerskiej. Powstały deficyt punktowy student zobowiązany jest uzupełnić zaliczając dodatkowe kursy ustalone w</w:t>
      </w:r>
      <w:r>
        <w:rPr>
          <w:spacing w:val="-5"/>
          <w:sz w:val="24"/>
        </w:rPr>
        <w:t xml:space="preserve"> </w:t>
      </w:r>
      <w:r w:rsidR="003D7A4C">
        <w:rPr>
          <w:sz w:val="24"/>
        </w:rPr>
        <w:t>IO</w:t>
      </w:r>
      <w:r>
        <w:rPr>
          <w:sz w:val="24"/>
        </w:rPr>
        <w:t>S.</w:t>
      </w:r>
    </w:p>
    <w:p w:rsidR="001A7095" w:rsidRDefault="006A0B29">
      <w:pPr>
        <w:pStyle w:val="Akapitzlist"/>
        <w:numPr>
          <w:ilvl w:val="0"/>
          <w:numId w:val="1"/>
        </w:numPr>
        <w:tabs>
          <w:tab w:val="left" w:pos="477"/>
        </w:tabs>
        <w:ind w:right="106"/>
        <w:jc w:val="both"/>
        <w:rPr>
          <w:sz w:val="24"/>
        </w:rPr>
      </w:pPr>
      <w:r>
        <w:rPr>
          <w:sz w:val="24"/>
        </w:rPr>
        <w:t>Oceny kursów przeliczane są według zasad zawartych w załączonej tabeli. W miarę nawiązywania nowych kontaktów, tabela będzie uzupełniana według analogicznych zasad. Do indeksu wpisywane są oceny</w:t>
      </w:r>
      <w:r>
        <w:rPr>
          <w:spacing w:val="-8"/>
          <w:sz w:val="24"/>
        </w:rPr>
        <w:t xml:space="preserve"> </w:t>
      </w:r>
      <w:r>
        <w:rPr>
          <w:sz w:val="24"/>
        </w:rPr>
        <w:t>przeliczone.</w:t>
      </w:r>
    </w:p>
    <w:p w:rsidR="001A7095" w:rsidRDefault="001A7095">
      <w:pPr>
        <w:jc w:val="both"/>
        <w:rPr>
          <w:sz w:val="24"/>
        </w:rPr>
        <w:sectPr w:rsidR="001A7095">
          <w:type w:val="continuous"/>
          <w:pgSz w:w="11900" w:h="16840"/>
          <w:pgMar w:top="1380" w:right="1300" w:bottom="280" w:left="1300" w:header="708" w:footer="708" w:gutter="0"/>
          <w:cols w:space="708"/>
        </w:sectPr>
      </w:pPr>
    </w:p>
    <w:p w:rsidR="001A7095" w:rsidRDefault="006A0B29">
      <w:pPr>
        <w:pStyle w:val="Nagwek1"/>
        <w:spacing w:before="69"/>
        <w:ind w:left="3260" w:right="3079"/>
      </w:pPr>
      <w:r>
        <w:lastRenderedPageBreak/>
        <w:t>Tabela ocen kursów uko</w:t>
      </w:r>
      <w:r>
        <w:rPr>
          <w:b w:val="0"/>
        </w:rPr>
        <w:t>ń</w:t>
      </w:r>
      <w:r>
        <w:t>czonych za granic</w:t>
      </w:r>
      <w:r>
        <w:rPr>
          <w:b w:val="0"/>
        </w:rPr>
        <w:t xml:space="preserve">ą </w:t>
      </w:r>
      <w:r>
        <w:t>(zmodyfikowana kwiecie</w:t>
      </w:r>
      <w:r>
        <w:rPr>
          <w:b w:val="0"/>
        </w:rPr>
        <w:t xml:space="preserve">ń </w:t>
      </w:r>
      <w:r>
        <w:t>2009)</w:t>
      </w:r>
    </w:p>
    <w:p w:rsidR="001A7095" w:rsidRDefault="001A7095">
      <w:pPr>
        <w:pStyle w:val="Tekstpodstawowy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8"/>
        <w:gridCol w:w="1560"/>
        <w:gridCol w:w="1558"/>
        <w:gridCol w:w="1560"/>
        <w:gridCol w:w="1560"/>
        <w:gridCol w:w="1558"/>
        <w:gridCol w:w="1560"/>
        <w:gridCol w:w="1558"/>
      </w:tblGrid>
      <w:tr w:rsidR="001A7095">
        <w:trPr>
          <w:trHeight w:val="553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spacing w:before="0" w:line="270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Oceny</w:t>
            </w:r>
          </w:p>
          <w:p w:rsidR="001A7095" w:rsidRDefault="006A0B29">
            <w:pPr>
              <w:pStyle w:val="TableParagraph"/>
              <w:spacing w:before="0" w:line="264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polskie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spacing w:before="131"/>
              <w:ind w:left="80" w:right="79"/>
              <w:rPr>
                <w:sz w:val="24"/>
              </w:rPr>
            </w:pPr>
            <w:r>
              <w:rPr>
                <w:sz w:val="24"/>
              </w:rPr>
              <w:t>Oceny ECTS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spacing w:before="0" w:line="270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Oceny</w:t>
            </w:r>
          </w:p>
          <w:p w:rsidR="001A7095" w:rsidRDefault="006A0B29">
            <w:pPr>
              <w:pStyle w:val="TableParagraph"/>
              <w:spacing w:before="0" w:line="264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ang./irl.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spacing w:before="0" w:line="270" w:lineRule="exact"/>
              <w:ind w:left="88" w:right="73"/>
              <w:rPr>
                <w:sz w:val="24"/>
              </w:rPr>
            </w:pPr>
            <w:r>
              <w:rPr>
                <w:sz w:val="24"/>
              </w:rPr>
              <w:t>Oceny</w:t>
            </w:r>
          </w:p>
          <w:p w:rsidR="001A7095" w:rsidRDefault="006A0B29">
            <w:pPr>
              <w:pStyle w:val="TableParagraph"/>
              <w:spacing w:before="0" w:line="264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niemieckie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spacing w:before="0" w:line="270" w:lineRule="exact"/>
              <w:ind w:right="225"/>
              <w:rPr>
                <w:sz w:val="24"/>
              </w:rPr>
            </w:pPr>
            <w:r>
              <w:rPr>
                <w:sz w:val="24"/>
              </w:rPr>
              <w:t>Oceny</w:t>
            </w:r>
          </w:p>
          <w:p w:rsidR="001A7095" w:rsidRDefault="006A0B29">
            <w:pPr>
              <w:pStyle w:val="TableParagraph"/>
              <w:spacing w:before="0" w:line="264" w:lineRule="exact"/>
              <w:ind w:right="233"/>
              <w:rPr>
                <w:sz w:val="24"/>
              </w:rPr>
            </w:pPr>
            <w:r>
              <w:rPr>
                <w:sz w:val="24"/>
              </w:rPr>
              <w:t>austriackie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spacing w:before="0" w:line="270" w:lineRule="exact"/>
              <w:ind w:right="225"/>
              <w:rPr>
                <w:sz w:val="24"/>
              </w:rPr>
            </w:pPr>
            <w:r>
              <w:rPr>
                <w:sz w:val="24"/>
              </w:rPr>
              <w:t>Oceny</w:t>
            </w:r>
          </w:p>
          <w:p w:rsidR="001A7095" w:rsidRDefault="006A0B29">
            <w:pPr>
              <w:pStyle w:val="TableParagraph"/>
              <w:spacing w:before="0" w:line="264" w:lineRule="exact"/>
              <w:ind w:right="231"/>
              <w:rPr>
                <w:sz w:val="24"/>
              </w:rPr>
            </w:pPr>
            <w:r>
              <w:rPr>
                <w:sz w:val="24"/>
              </w:rPr>
              <w:t>francuskie</w:t>
            </w:r>
          </w:p>
        </w:tc>
        <w:tc>
          <w:tcPr>
            <w:tcW w:w="3118" w:type="dxa"/>
            <w:gridSpan w:val="2"/>
          </w:tcPr>
          <w:p w:rsidR="001A7095" w:rsidRDefault="006A0B29">
            <w:pPr>
              <w:pStyle w:val="TableParagraph"/>
              <w:spacing w:before="131"/>
              <w:ind w:left="839"/>
              <w:jc w:val="left"/>
              <w:rPr>
                <w:sz w:val="24"/>
              </w:rPr>
            </w:pPr>
            <w:r>
              <w:rPr>
                <w:sz w:val="24"/>
              </w:rPr>
              <w:t>Oceny duńskie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spacing w:before="0" w:line="270" w:lineRule="exact"/>
              <w:ind w:left="88" w:right="79"/>
              <w:rPr>
                <w:sz w:val="24"/>
              </w:rPr>
            </w:pPr>
            <w:r>
              <w:rPr>
                <w:sz w:val="24"/>
              </w:rPr>
              <w:t>Oceny</w:t>
            </w:r>
          </w:p>
          <w:p w:rsidR="001A7095" w:rsidRDefault="006A0B29">
            <w:pPr>
              <w:pStyle w:val="TableParagraph"/>
              <w:spacing w:before="0" w:line="264" w:lineRule="exact"/>
              <w:ind w:left="82" w:right="79"/>
              <w:rPr>
                <w:sz w:val="24"/>
              </w:rPr>
            </w:pPr>
            <w:r>
              <w:rPr>
                <w:sz w:val="24"/>
              </w:rPr>
              <w:t>portugalskie</w:t>
            </w:r>
          </w:p>
        </w:tc>
      </w:tr>
      <w:tr w:rsidR="001A7095">
        <w:trPr>
          <w:trHeight w:val="453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1" w:right="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≥90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1" w:right="79"/>
              <w:rPr>
                <w:sz w:val="24"/>
              </w:rPr>
            </w:pPr>
            <w:r>
              <w:rPr>
                <w:sz w:val="24"/>
              </w:rPr>
              <w:t>11,13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1" w:right="79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</w:tr>
      <w:tr w:rsidR="001A7095">
        <w:trPr>
          <w:trHeight w:val="453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70-90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(1,0;1,5]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4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1" w:right="79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</w:tr>
      <w:tr w:rsidR="001A7095">
        <w:trPr>
          <w:trHeight w:val="455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spacing w:before="83"/>
              <w:ind w:right="23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spacing w:before="83"/>
              <w:ind w:left="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spacing w:before="83"/>
              <w:ind w:right="231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spacing w:before="83"/>
              <w:ind w:left="88" w:right="77"/>
              <w:rPr>
                <w:sz w:val="24"/>
              </w:rPr>
            </w:pPr>
            <w:r>
              <w:rPr>
                <w:sz w:val="24"/>
              </w:rPr>
              <w:t>(1,5;2,0]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spacing w:before="83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spacing w:before="83"/>
              <w:ind w:right="232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spacing w:before="83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spacing w:before="83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spacing w:before="83"/>
              <w:ind w:left="81" w:right="79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</w:tr>
      <w:tr w:rsidR="001A7095">
        <w:trPr>
          <w:trHeight w:val="453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(2,0;3,0)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11-13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1" w:right="79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</w:tr>
      <w:tr w:rsidR="001A7095">
        <w:trPr>
          <w:trHeight w:val="453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45-49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8" w:right="75"/>
              <w:rPr>
                <w:sz w:val="24"/>
              </w:rPr>
            </w:pPr>
            <w:r>
              <w:rPr>
                <w:sz w:val="24"/>
              </w:rPr>
              <w:t>[3,0;3,5)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1" w:right="79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</w:tr>
      <w:tr w:rsidR="001A7095">
        <w:trPr>
          <w:trHeight w:val="455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spacing w:before="83"/>
              <w:ind w:right="23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spacing w:before="83"/>
              <w:ind w:right="231"/>
              <w:rPr>
                <w:sz w:val="24"/>
              </w:rPr>
            </w:pPr>
            <w:r>
              <w:rPr>
                <w:sz w:val="24"/>
              </w:rPr>
              <w:t>40-44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spacing w:before="83"/>
              <w:ind w:left="88" w:right="77"/>
              <w:rPr>
                <w:sz w:val="24"/>
              </w:rPr>
            </w:pPr>
            <w:r>
              <w:rPr>
                <w:sz w:val="24"/>
              </w:rPr>
              <w:t>[3,5;4,0]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spacing w:before="83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spacing w:before="83"/>
              <w:ind w:right="232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spacing w:before="83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spacing w:before="83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spacing w:before="83"/>
              <w:ind w:left="83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7095">
        <w:trPr>
          <w:trHeight w:val="453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1" w:right="79"/>
              <w:rPr>
                <w:sz w:val="24"/>
              </w:rPr>
            </w:pPr>
            <w:r>
              <w:rPr>
                <w:sz w:val="24"/>
              </w:rPr>
              <w:t>F, FX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&lt;40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&gt;4,0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&gt;4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&lt;7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1" w:right="79"/>
              <w:rPr>
                <w:sz w:val="24"/>
              </w:rPr>
            </w:pPr>
            <w:r>
              <w:rPr>
                <w:sz w:val="24"/>
              </w:rPr>
              <w:t>5,3/0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0/-3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3" w:right="79"/>
              <w:rPr>
                <w:sz w:val="24"/>
              </w:rPr>
            </w:pPr>
            <w:r>
              <w:rPr>
                <w:sz w:val="24"/>
              </w:rPr>
              <w:t>&lt;10</w:t>
            </w:r>
          </w:p>
        </w:tc>
      </w:tr>
    </w:tbl>
    <w:p w:rsidR="001A7095" w:rsidRDefault="001A7095">
      <w:pPr>
        <w:pStyle w:val="Tekstpodstawowy"/>
        <w:spacing w:before="3"/>
        <w:ind w:left="0"/>
        <w:rPr>
          <w:b/>
          <w:sz w:val="23"/>
        </w:rPr>
      </w:pPr>
    </w:p>
    <w:p w:rsidR="001A7095" w:rsidRDefault="006A0B29">
      <w:pPr>
        <w:pStyle w:val="Tekstpodstawowy"/>
        <w:ind w:left="218" w:right="227"/>
      </w:pPr>
      <w:r>
        <w:t xml:space="preserve">W przypadku uczelni hiszpańskich, nadrzędne znaczenie mają oceny ECTS. Przeliczenie ocen lokalnych </w:t>
      </w:r>
      <w:r w:rsidR="003D7A4C">
        <w:t>można</w:t>
      </w:r>
      <w:r>
        <w:t xml:space="preserve"> stosować jedynie w sytuacjach awaryjnych, braku </w:t>
      </w:r>
      <w:r w:rsidR="003D7A4C">
        <w:t>możliwości</w:t>
      </w:r>
      <w:r>
        <w:t xml:space="preserve"> uzyskania informacji o ocenach ECTS z uczelni zagranicznej.</w:t>
      </w:r>
    </w:p>
    <w:p w:rsidR="001A7095" w:rsidRDefault="001A7095">
      <w:pPr>
        <w:pStyle w:val="Tekstpodstawowy"/>
        <w:spacing w:before="8"/>
        <w:ind w:left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8"/>
        <w:gridCol w:w="1560"/>
        <w:gridCol w:w="1558"/>
      </w:tblGrid>
      <w:tr w:rsidR="001A7095">
        <w:trPr>
          <w:trHeight w:val="551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spacing w:before="0"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Oceny</w:t>
            </w:r>
          </w:p>
          <w:p w:rsidR="001A7095" w:rsidRDefault="006A0B29">
            <w:pPr>
              <w:pStyle w:val="TableParagraph"/>
              <w:spacing w:before="0" w:line="264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polskie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spacing w:before="0"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Oceny</w:t>
            </w:r>
          </w:p>
          <w:p w:rsidR="001A7095" w:rsidRDefault="006A0B29">
            <w:pPr>
              <w:pStyle w:val="TableParagraph"/>
              <w:spacing w:before="0" w:line="264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hiszpańskie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spacing w:before="0"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Oceny</w:t>
            </w:r>
          </w:p>
          <w:p w:rsidR="001A7095" w:rsidRDefault="006A0B29">
            <w:pPr>
              <w:pStyle w:val="TableParagraph"/>
              <w:spacing w:before="0" w:line="264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Kansas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spacing w:before="131"/>
              <w:ind w:left="88" w:right="79"/>
              <w:rPr>
                <w:sz w:val="24"/>
              </w:rPr>
            </w:pPr>
            <w:r>
              <w:rPr>
                <w:sz w:val="24"/>
              </w:rPr>
              <w:t xml:space="preserve">Oceny </w:t>
            </w:r>
            <w:r w:rsidR="003D7A4C">
              <w:rPr>
                <w:sz w:val="24"/>
              </w:rPr>
              <w:t>fińskie</w:t>
            </w:r>
          </w:p>
        </w:tc>
      </w:tr>
      <w:tr w:rsidR="001A7095">
        <w:trPr>
          <w:trHeight w:val="455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7095">
        <w:trPr>
          <w:trHeight w:val="453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9-9,9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A7095">
        <w:trPr>
          <w:trHeight w:val="453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8-8,9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7095">
        <w:trPr>
          <w:trHeight w:val="455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7-7,9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A7095">
        <w:trPr>
          <w:trHeight w:val="453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6-6,9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7095">
        <w:trPr>
          <w:trHeight w:val="453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5-5,9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7095">
        <w:trPr>
          <w:trHeight w:val="455"/>
        </w:trPr>
        <w:tc>
          <w:tcPr>
            <w:tcW w:w="1560" w:type="dxa"/>
            <w:shd w:val="clear" w:color="auto" w:fill="EEECE1"/>
          </w:tcPr>
          <w:p w:rsidR="001A7095" w:rsidRDefault="006A0B2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&lt;5</w:t>
            </w:r>
          </w:p>
        </w:tc>
        <w:tc>
          <w:tcPr>
            <w:tcW w:w="1560" w:type="dxa"/>
          </w:tcPr>
          <w:p w:rsidR="001A7095" w:rsidRDefault="006A0B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558" w:type="dxa"/>
          </w:tcPr>
          <w:p w:rsidR="001A7095" w:rsidRDefault="006A0B2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A0B29" w:rsidRDefault="006A0B29"/>
    <w:sectPr w:rsidR="006A0B29">
      <w:pgSz w:w="16840" w:h="11900" w:orient="landscape"/>
      <w:pgMar w:top="106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27264"/>
    <w:multiLevelType w:val="hybridMultilevel"/>
    <w:tmpl w:val="5044D754"/>
    <w:lvl w:ilvl="0" w:tplc="4E96367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F80BBE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2" w:tplc="BB728142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53DA5606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4" w:tplc="B40809BA">
      <w:numFmt w:val="bullet"/>
      <w:lvlText w:val="•"/>
      <w:lvlJc w:val="left"/>
      <w:pPr>
        <w:ind w:left="3900" w:hanging="360"/>
      </w:pPr>
      <w:rPr>
        <w:rFonts w:hint="default"/>
        <w:lang w:val="pl-PL" w:eastAsia="en-US" w:bidi="ar-SA"/>
      </w:rPr>
    </w:lvl>
    <w:lvl w:ilvl="5" w:tplc="6ED41F0E">
      <w:numFmt w:val="bullet"/>
      <w:lvlText w:val="•"/>
      <w:lvlJc w:val="left"/>
      <w:pPr>
        <w:ind w:left="4800" w:hanging="360"/>
      </w:pPr>
      <w:rPr>
        <w:rFonts w:hint="default"/>
        <w:lang w:val="pl-PL" w:eastAsia="en-US" w:bidi="ar-SA"/>
      </w:rPr>
    </w:lvl>
    <w:lvl w:ilvl="6" w:tplc="B96C0D9E">
      <w:numFmt w:val="bullet"/>
      <w:lvlText w:val="•"/>
      <w:lvlJc w:val="left"/>
      <w:pPr>
        <w:ind w:left="5700" w:hanging="360"/>
      </w:pPr>
      <w:rPr>
        <w:rFonts w:hint="default"/>
        <w:lang w:val="pl-PL" w:eastAsia="en-US" w:bidi="ar-SA"/>
      </w:rPr>
    </w:lvl>
    <w:lvl w:ilvl="7" w:tplc="DB7A964C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53F8CFAE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95"/>
    <w:rsid w:val="001A7095"/>
    <w:rsid w:val="003B46FB"/>
    <w:rsid w:val="003D7A4C"/>
    <w:rsid w:val="006A0B29"/>
    <w:rsid w:val="0095320C"/>
    <w:rsid w:val="00D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428D7-AE3C-4760-BD60-E01C5276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32"/>
      <w:ind w:left="177" w:right="17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80"/>
      <w:ind w:left="23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zaliczenia.doc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zaliczenia.doc</dc:title>
  <dc:creator>Ja</dc:creator>
  <cp:lastModifiedBy>Marta Liszkowska</cp:lastModifiedBy>
  <cp:revision>2</cp:revision>
  <dcterms:created xsi:type="dcterms:W3CDTF">2023-04-27T08:39:00Z</dcterms:created>
  <dcterms:modified xsi:type="dcterms:W3CDTF">2023-04-27T08:39:00Z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2022-01-31T00:00:00Z</vt:filetime>
  </property>
</Properties>
</file>