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0067">
      <w:pPr>
        <w:pStyle w:val="2"/>
      </w:pPr>
      <w:bookmarkStart w:id="0" w:name="_GoBack"/>
      <w:bookmarkEnd w:id="0"/>
      <w:r>
        <w:t>REKTOR</w:t>
      </w:r>
    </w:p>
    <w:p w14:paraId="1B1811D0">
      <w:pPr>
        <w:pStyle w:val="17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ZARZĄDZENIE WEWNĘTRZNE NR 70/2025</w:t>
      </w:r>
    </w:p>
    <w:p w14:paraId="05701A5A">
      <w:pPr>
        <w:pStyle w:val="2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 dnia 11 czerwca 2025 r.</w:t>
      </w:r>
    </w:p>
    <w:p w14:paraId="38AFB49B">
      <w:pPr>
        <w:pStyle w:val="18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 sprawie wysokości opłat za usługi edukacyjne dla cykli studiów rozpoczynających się </w:t>
      </w:r>
      <w:r>
        <w:rPr>
          <w:rFonts w:asciiTheme="minorHAnsi" w:hAnsiTheme="minorHAnsi" w:cstheme="minorHAnsi"/>
          <w:szCs w:val="24"/>
        </w:rPr>
        <w:br w:type="textWrapping"/>
      </w:r>
      <w:r>
        <w:rPr>
          <w:rFonts w:asciiTheme="minorHAnsi" w:hAnsiTheme="minorHAnsi" w:cstheme="minorHAnsi"/>
          <w:szCs w:val="24"/>
        </w:rPr>
        <w:t>w roku akademickim 2025/2026</w:t>
      </w:r>
    </w:p>
    <w:p w14:paraId="47B063D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art. 23 ust. 1 w związku z art. 79 ust. 1 pkt 1-5, ust. 2 pkt 2 oraz art. 80 ust. 2 ustawy z dnia 20 lipca 2018 roku </w:t>
      </w:r>
      <w:r>
        <w:rPr>
          <w:rFonts w:asciiTheme="minorHAnsi" w:hAnsiTheme="minorHAnsi" w:cstheme="minorHAnsi"/>
          <w:i/>
        </w:rPr>
        <w:t>Prawo o szkolnictwie wyższym i nauce</w:t>
      </w:r>
      <w:r>
        <w:rPr>
          <w:rFonts w:asciiTheme="minorHAnsi" w:hAnsiTheme="minorHAnsi" w:cstheme="minorHAnsi"/>
        </w:rPr>
        <w:t xml:space="preserve"> (t.j. Dz. U. 2024 r. poz. 1571 z późn. zm.) zarządza się, co następuje:</w:t>
      </w:r>
    </w:p>
    <w:p w14:paraId="54F31E86">
      <w:pPr>
        <w:spacing w:before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§1</w:t>
      </w:r>
    </w:p>
    <w:p w14:paraId="0DE6D85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Ustala się opłaty za usługi edukacyjne świadczone przez Politechnikę Wrocławską dla cykli studiów rozpoczynających się w roku akademickim 2025/2026 związane z:</w:t>
      </w:r>
    </w:p>
    <w:p w14:paraId="6C065D64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kształceniem na studiach niestacjonarnych;</w:t>
      </w:r>
    </w:p>
    <w:p w14:paraId="4B39B2B9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kształceniem na studiach w języku obcym;</w:t>
      </w:r>
    </w:p>
    <w:p w14:paraId="7F8A4489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powtarzaniem określonych zajęć na studiach stacjonarnych i niestacjonarnych z powodu niezadowalających wyników w nauce;</w:t>
      </w:r>
    </w:p>
    <w:p w14:paraId="76743A18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kształceniem cudzoziemców na studiach stacjonarnych w języku polskim;</w:t>
      </w:r>
    </w:p>
    <w:p w14:paraId="63E5B483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prowadzeniem zajęć nieobjętych programem studiów;</w:t>
      </w:r>
    </w:p>
    <w:p w14:paraId="7E4AE0ED">
      <w:pPr>
        <w:numPr>
          <w:ilvl w:val="0"/>
          <w:numId w:val="1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potwierdzaniem efektów uczenia się.</w:t>
      </w:r>
    </w:p>
    <w:p w14:paraId="19A3CE0D">
      <w:pPr>
        <w:spacing w:before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</w:t>
      </w:r>
    </w:p>
    <w:p w14:paraId="3C24763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Przez określenie „rozpoczęcie studiów” rozumie się podjęcie studiów na danym kierunku studiów, poziomie, formie i profilu studiów po: rekrutacji, potwierdzeniu efektów uczenia się, przeniesieniu z innego kierunku studiów, formy lub profilu studiów, przeniesieniu z innej uczelni lub uczelni zagranicznej albo po wznowieniu studiów.</w:t>
      </w:r>
    </w:p>
    <w:p w14:paraId="5DD78C8B">
      <w:pPr>
        <w:spacing w:before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</w:p>
    <w:p w14:paraId="3137A0AA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określa wysokość opłat pobieranych od obywateli polskich.</w:t>
      </w:r>
    </w:p>
    <w:p w14:paraId="3E1B706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określa wysokość opłat pobieranych od cudzoziemców.</w:t>
      </w:r>
    </w:p>
    <w:p w14:paraId="3DB2EBD1">
      <w:pPr>
        <w:spacing w:before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</w:t>
      </w:r>
    </w:p>
    <w:p w14:paraId="140D7BB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pobierania opłat określone są odrębnymi przepisami.</w:t>
      </w:r>
    </w:p>
    <w:p w14:paraId="644F8CDE">
      <w:pPr>
        <w:spacing w:before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p w14:paraId="46B0D71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Zarządzenie wchodzi w życie z dniem ogłoszenia, z mocą obowiązującą od dnia </w:t>
      </w:r>
      <w:r>
        <w:rPr>
          <w:rFonts w:asciiTheme="minorHAnsi" w:hAnsiTheme="minorHAnsi" w:cstheme="minorHAnsi"/>
        </w:rPr>
        <w:br w:type="textWrapping"/>
      </w:r>
      <w:r>
        <w:rPr>
          <w:rFonts w:asciiTheme="minorHAnsi" w:hAnsiTheme="minorHAnsi" w:cstheme="minorHAnsi"/>
        </w:rPr>
        <w:t>1 października 2025 r.</w:t>
      </w:r>
    </w:p>
    <w:p w14:paraId="477B18AC">
      <w:pPr>
        <w:spacing w:before="720" w:line="276" w:lineRule="auto"/>
        <w:ind w:left="4956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dr hab. inż. Arkadiusz Wójs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134" w:right="1418" w:bottom="851" w:left="1418" w:header="567" w:footer="45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FB12">
    <w:pPr>
      <w:pStyle w:val="11"/>
      <w:pBdr>
        <w:top w:val="single" w:color="auto" w:sz="4" w:space="8"/>
      </w:pBdr>
      <w:jc w:val="center"/>
      <w:rPr>
        <w:sz w:val="18"/>
      </w:rPr>
    </w:pPr>
    <w:r>
      <w:rPr>
        <w:sz w:val="18"/>
      </w:rPr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7D56F">
    <w:pPr>
      <w:pStyle w:val="11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4C03EC00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10CBB">
    <w:pPr>
      <w:pStyle w:val="11"/>
      <w:pBdr>
        <w:top w:val="single" w:color="auto" w:sz="4" w:space="8"/>
      </w:pBdr>
      <w:jc w:val="center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Strona </w:t>
    </w:r>
    <w:r>
      <w:rPr>
        <w:rFonts w:asciiTheme="minorHAnsi" w:hAnsiTheme="minorHAnsi" w:cstheme="minorHAnsi"/>
        <w:sz w:val="18"/>
      </w:rPr>
      <w:fldChar w:fldCharType="begin"/>
    </w:r>
    <w:r>
      <w:rPr>
        <w:rFonts w:asciiTheme="minorHAnsi" w:hAnsiTheme="minorHAnsi" w:cstheme="minorHAnsi"/>
        <w:sz w:val="18"/>
      </w:rPr>
      <w:instrText xml:space="preserve"> PAGE </w:instrText>
    </w:r>
    <w:r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>
      <w:rPr>
        <w:rFonts w:asciiTheme="minorHAnsi" w:hAnsiTheme="minorHAnsi" w:cstheme="minorHAnsi"/>
        <w:sz w:val="18"/>
      </w:rPr>
      <w:fldChar w:fldCharType="end"/>
    </w:r>
    <w:r>
      <w:rPr>
        <w:rFonts w:asciiTheme="minorHAnsi" w:hAnsiTheme="minorHAnsi" w:cstheme="minorHAnsi"/>
        <w:sz w:val="18"/>
      </w:rPr>
      <w:t xml:space="preserve"> z </w:t>
    </w:r>
    <w:r>
      <w:rPr>
        <w:rFonts w:asciiTheme="minorHAnsi" w:hAnsiTheme="minorHAnsi" w:cstheme="minorHAnsi"/>
        <w:sz w:val="18"/>
      </w:rPr>
      <w:fldChar w:fldCharType="begin"/>
    </w:r>
    <w:r>
      <w:rPr>
        <w:rFonts w:asciiTheme="minorHAnsi" w:hAnsiTheme="minorHAnsi" w:cstheme="minorHAnsi"/>
        <w:sz w:val="18"/>
      </w:rPr>
      <w:instrText xml:space="preserve"> NUMPAGES </w:instrText>
    </w:r>
    <w:r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>
      <w:rPr>
        <w:rFonts w:asciiTheme="minorHAnsi" w:hAnsiTheme="minorHAnsi" w:cstheme="minorHAnsi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A754">
    <w:pPr>
      <w:pStyle w:val="14"/>
      <w:jc w:val="center"/>
    </w:pPr>
    <w:r>
      <w:drawing>
        <wp:inline distT="0" distB="0" distL="0" distR="0">
          <wp:extent cx="723900" cy="933450"/>
          <wp:effectExtent l="0" t="0" r="0" b="0"/>
          <wp:docPr id="3" name="Obraz 3" descr="logotyp P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PW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35C4"/>
    <w:multiLevelType w:val="multilevel"/>
    <w:tmpl w:val="5A3035C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C3634"/>
    <w:multiLevelType w:val="multilevel"/>
    <w:tmpl w:val="7C5C3634"/>
    <w:lvl w:ilvl="0" w:tentative="0">
      <w:start w:val="1"/>
      <w:numFmt w:val="decimal"/>
      <w:lvlText w:val="%1)"/>
      <w:lvlJc w:val="left"/>
      <w:pPr>
        <w:ind w:left="6598" w:hanging="360"/>
      </w:pPr>
    </w:lvl>
    <w:lvl w:ilvl="1" w:tentative="0">
      <w:start w:val="1"/>
      <w:numFmt w:val="lowerLetter"/>
      <w:lvlText w:val="%2."/>
      <w:lvlJc w:val="left"/>
      <w:pPr>
        <w:ind w:left="7318" w:hanging="360"/>
      </w:pPr>
    </w:lvl>
    <w:lvl w:ilvl="2" w:tentative="0">
      <w:start w:val="1"/>
      <w:numFmt w:val="lowerRoman"/>
      <w:lvlText w:val="%3."/>
      <w:lvlJc w:val="right"/>
      <w:pPr>
        <w:ind w:left="8038" w:hanging="180"/>
      </w:pPr>
    </w:lvl>
    <w:lvl w:ilvl="3" w:tentative="0">
      <w:start w:val="1"/>
      <w:numFmt w:val="decimal"/>
      <w:lvlText w:val="%4."/>
      <w:lvlJc w:val="left"/>
      <w:pPr>
        <w:ind w:left="8758" w:hanging="360"/>
      </w:pPr>
    </w:lvl>
    <w:lvl w:ilvl="4" w:tentative="0">
      <w:start w:val="1"/>
      <w:numFmt w:val="lowerLetter"/>
      <w:lvlText w:val="%5."/>
      <w:lvlJc w:val="left"/>
      <w:pPr>
        <w:ind w:left="9478" w:hanging="360"/>
      </w:pPr>
    </w:lvl>
    <w:lvl w:ilvl="5" w:tentative="0">
      <w:start w:val="1"/>
      <w:numFmt w:val="lowerRoman"/>
      <w:lvlText w:val="%6."/>
      <w:lvlJc w:val="right"/>
      <w:pPr>
        <w:ind w:left="10198" w:hanging="180"/>
      </w:pPr>
    </w:lvl>
    <w:lvl w:ilvl="6" w:tentative="0">
      <w:start w:val="1"/>
      <w:numFmt w:val="decimal"/>
      <w:lvlText w:val="%7."/>
      <w:lvlJc w:val="left"/>
      <w:pPr>
        <w:ind w:left="10918" w:hanging="360"/>
      </w:pPr>
    </w:lvl>
    <w:lvl w:ilvl="7" w:tentative="0">
      <w:start w:val="1"/>
      <w:numFmt w:val="lowerLetter"/>
      <w:lvlText w:val="%8."/>
      <w:lvlJc w:val="left"/>
      <w:pPr>
        <w:ind w:left="11638" w:hanging="360"/>
      </w:pPr>
    </w:lvl>
    <w:lvl w:ilvl="8" w:tentative="0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1A"/>
    <w:rsid w:val="000137D5"/>
    <w:rsid w:val="00021FF6"/>
    <w:rsid w:val="000324D5"/>
    <w:rsid w:val="000365AB"/>
    <w:rsid w:val="00037291"/>
    <w:rsid w:val="00046F9D"/>
    <w:rsid w:val="00046FAA"/>
    <w:rsid w:val="000526FB"/>
    <w:rsid w:val="000609CD"/>
    <w:rsid w:val="0006266D"/>
    <w:rsid w:val="00066BCA"/>
    <w:rsid w:val="00072C2C"/>
    <w:rsid w:val="000951EE"/>
    <w:rsid w:val="00095264"/>
    <w:rsid w:val="000B4F8F"/>
    <w:rsid w:val="000B60C2"/>
    <w:rsid w:val="000B7793"/>
    <w:rsid w:val="000C5C58"/>
    <w:rsid w:val="000D3B48"/>
    <w:rsid w:val="000E572A"/>
    <w:rsid w:val="00103772"/>
    <w:rsid w:val="00112288"/>
    <w:rsid w:val="00122BB1"/>
    <w:rsid w:val="00132556"/>
    <w:rsid w:val="001365FF"/>
    <w:rsid w:val="00152193"/>
    <w:rsid w:val="00174977"/>
    <w:rsid w:val="001905DC"/>
    <w:rsid w:val="00196C99"/>
    <w:rsid w:val="001A07BF"/>
    <w:rsid w:val="001C3CB6"/>
    <w:rsid w:val="001C694D"/>
    <w:rsid w:val="001E1794"/>
    <w:rsid w:val="001F7FEE"/>
    <w:rsid w:val="00205C47"/>
    <w:rsid w:val="00205D9F"/>
    <w:rsid w:val="00217B2A"/>
    <w:rsid w:val="00222121"/>
    <w:rsid w:val="00237439"/>
    <w:rsid w:val="00241BF3"/>
    <w:rsid w:val="002504CA"/>
    <w:rsid w:val="00256D14"/>
    <w:rsid w:val="00284E9F"/>
    <w:rsid w:val="00297EF2"/>
    <w:rsid w:val="002A164C"/>
    <w:rsid w:val="002A5067"/>
    <w:rsid w:val="002B0EC4"/>
    <w:rsid w:val="002B69B7"/>
    <w:rsid w:val="002C2774"/>
    <w:rsid w:val="002C7297"/>
    <w:rsid w:val="002D4E05"/>
    <w:rsid w:val="002D7F08"/>
    <w:rsid w:val="002E11CE"/>
    <w:rsid w:val="002E2F08"/>
    <w:rsid w:val="002F4E68"/>
    <w:rsid w:val="003123F2"/>
    <w:rsid w:val="00323885"/>
    <w:rsid w:val="003257FA"/>
    <w:rsid w:val="00325CA0"/>
    <w:rsid w:val="0032631F"/>
    <w:rsid w:val="003306DC"/>
    <w:rsid w:val="00331025"/>
    <w:rsid w:val="0033352A"/>
    <w:rsid w:val="003345AA"/>
    <w:rsid w:val="0036096B"/>
    <w:rsid w:val="00374D08"/>
    <w:rsid w:val="00377A8C"/>
    <w:rsid w:val="00377F64"/>
    <w:rsid w:val="00396CD2"/>
    <w:rsid w:val="003A2F90"/>
    <w:rsid w:val="003B167F"/>
    <w:rsid w:val="003B784C"/>
    <w:rsid w:val="003C2493"/>
    <w:rsid w:val="003C3AB3"/>
    <w:rsid w:val="003C50C3"/>
    <w:rsid w:val="003C6E5A"/>
    <w:rsid w:val="003D1AA8"/>
    <w:rsid w:val="003D1E29"/>
    <w:rsid w:val="003D2562"/>
    <w:rsid w:val="003D5AC9"/>
    <w:rsid w:val="003D6098"/>
    <w:rsid w:val="003D73FE"/>
    <w:rsid w:val="003E184A"/>
    <w:rsid w:val="003E7B67"/>
    <w:rsid w:val="003F052D"/>
    <w:rsid w:val="003F151D"/>
    <w:rsid w:val="003F3471"/>
    <w:rsid w:val="0040240A"/>
    <w:rsid w:val="0041585C"/>
    <w:rsid w:val="00421F26"/>
    <w:rsid w:val="00436D9B"/>
    <w:rsid w:val="0044740D"/>
    <w:rsid w:val="0047288D"/>
    <w:rsid w:val="0047558E"/>
    <w:rsid w:val="004852F9"/>
    <w:rsid w:val="00496453"/>
    <w:rsid w:val="004A1838"/>
    <w:rsid w:val="004A655B"/>
    <w:rsid w:val="004B4AF2"/>
    <w:rsid w:val="004D0D67"/>
    <w:rsid w:val="004D1524"/>
    <w:rsid w:val="004D1EF4"/>
    <w:rsid w:val="00500EC1"/>
    <w:rsid w:val="00506F67"/>
    <w:rsid w:val="005115E1"/>
    <w:rsid w:val="00516C5A"/>
    <w:rsid w:val="00525857"/>
    <w:rsid w:val="00532BAD"/>
    <w:rsid w:val="00540BD5"/>
    <w:rsid w:val="005410B5"/>
    <w:rsid w:val="005462E9"/>
    <w:rsid w:val="00550467"/>
    <w:rsid w:val="00562548"/>
    <w:rsid w:val="00564727"/>
    <w:rsid w:val="005828AE"/>
    <w:rsid w:val="005B0C13"/>
    <w:rsid w:val="005B51AB"/>
    <w:rsid w:val="005D2D63"/>
    <w:rsid w:val="005E56A1"/>
    <w:rsid w:val="005F3C93"/>
    <w:rsid w:val="00605B8C"/>
    <w:rsid w:val="0062018F"/>
    <w:rsid w:val="0062595B"/>
    <w:rsid w:val="00625A01"/>
    <w:rsid w:val="00627209"/>
    <w:rsid w:val="00633719"/>
    <w:rsid w:val="006401B5"/>
    <w:rsid w:val="006503AF"/>
    <w:rsid w:val="0065085E"/>
    <w:rsid w:val="0066643C"/>
    <w:rsid w:val="00683239"/>
    <w:rsid w:val="006857C8"/>
    <w:rsid w:val="0069351E"/>
    <w:rsid w:val="006935F0"/>
    <w:rsid w:val="006A206C"/>
    <w:rsid w:val="006A312C"/>
    <w:rsid w:val="006A7FC8"/>
    <w:rsid w:val="006B66DE"/>
    <w:rsid w:val="006B7621"/>
    <w:rsid w:val="006D3298"/>
    <w:rsid w:val="006D69AE"/>
    <w:rsid w:val="006E5F43"/>
    <w:rsid w:val="006E6F41"/>
    <w:rsid w:val="006F6558"/>
    <w:rsid w:val="00700AC3"/>
    <w:rsid w:val="00712D43"/>
    <w:rsid w:val="00757997"/>
    <w:rsid w:val="00761EAC"/>
    <w:rsid w:val="00767C1E"/>
    <w:rsid w:val="00787D02"/>
    <w:rsid w:val="007A13BD"/>
    <w:rsid w:val="007C7C44"/>
    <w:rsid w:val="007F4BBD"/>
    <w:rsid w:val="007F6584"/>
    <w:rsid w:val="00803FD7"/>
    <w:rsid w:val="00805C7E"/>
    <w:rsid w:val="00807246"/>
    <w:rsid w:val="00831CF2"/>
    <w:rsid w:val="00836848"/>
    <w:rsid w:val="008629CE"/>
    <w:rsid w:val="00863AD1"/>
    <w:rsid w:val="0087151A"/>
    <w:rsid w:val="008739E8"/>
    <w:rsid w:val="00875BC4"/>
    <w:rsid w:val="00891AF4"/>
    <w:rsid w:val="008943A2"/>
    <w:rsid w:val="00896B42"/>
    <w:rsid w:val="008A64D1"/>
    <w:rsid w:val="008B0B16"/>
    <w:rsid w:val="008B7A2C"/>
    <w:rsid w:val="008F2EE2"/>
    <w:rsid w:val="00904CC0"/>
    <w:rsid w:val="00904F33"/>
    <w:rsid w:val="00913238"/>
    <w:rsid w:val="009132B8"/>
    <w:rsid w:val="00924DE6"/>
    <w:rsid w:val="00925233"/>
    <w:rsid w:val="00931C48"/>
    <w:rsid w:val="00937B12"/>
    <w:rsid w:val="009434CE"/>
    <w:rsid w:val="00954058"/>
    <w:rsid w:val="009625AA"/>
    <w:rsid w:val="00963FFF"/>
    <w:rsid w:val="00983F05"/>
    <w:rsid w:val="00986FEB"/>
    <w:rsid w:val="00993D0F"/>
    <w:rsid w:val="009A5E60"/>
    <w:rsid w:val="009C5AD2"/>
    <w:rsid w:val="009D39E9"/>
    <w:rsid w:val="009D7574"/>
    <w:rsid w:val="009E1CDF"/>
    <w:rsid w:val="009F318A"/>
    <w:rsid w:val="00A02169"/>
    <w:rsid w:val="00A10011"/>
    <w:rsid w:val="00A10E91"/>
    <w:rsid w:val="00A301CA"/>
    <w:rsid w:val="00A31B24"/>
    <w:rsid w:val="00A32311"/>
    <w:rsid w:val="00A32C7A"/>
    <w:rsid w:val="00A32F6F"/>
    <w:rsid w:val="00A5138D"/>
    <w:rsid w:val="00A62360"/>
    <w:rsid w:val="00A720C0"/>
    <w:rsid w:val="00A77692"/>
    <w:rsid w:val="00A9066E"/>
    <w:rsid w:val="00A90711"/>
    <w:rsid w:val="00A91160"/>
    <w:rsid w:val="00A94F38"/>
    <w:rsid w:val="00AD2DA2"/>
    <w:rsid w:val="00AE53D7"/>
    <w:rsid w:val="00AF2DE5"/>
    <w:rsid w:val="00B010B5"/>
    <w:rsid w:val="00B01BC2"/>
    <w:rsid w:val="00B117D2"/>
    <w:rsid w:val="00B24EF2"/>
    <w:rsid w:val="00B35C7F"/>
    <w:rsid w:val="00B35DB0"/>
    <w:rsid w:val="00B401F9"/>
    <w:rsid w:val="00B54071"/>
    <w:rsid w:val="00B54CBF"/>
    <w:rsid w:val="00B56EE3"/>
    <w:rsid w:val="00B61889"/>
    <w:rsid w:val="00B755B1"/>
    <w:rsid w:val="00B91D37"/>
    <w:rsid w:val="00BA4BA9"/>
    <w:rsid w:val="00BB2A8C"/>
    <w:rsid w:val="00BB4E7F"/>
    <w:rsid w:val="00BB6830"/>
    <w:rsid w:val="00BD05C8"/>
    <w:rsid w:val="00BD2934"/>
    <w:rsid w:val="00BD3204"/>
    <w:rsid w:val="00BD7A1D"/>
    <w:rsid w:val="00BE1622"/>
    <w:rsid w:val="00BF0366"/>
    <w:rsid w:val="00C11E9A"/>
    <w:rsid w:val="00C16763"/>
    <w:rsid w:val="00C23F20"/>
    <w:rsid w:val="00C45D8F"/>
    <w:rsid w:val="00C45EEA"/>
    <w:rsid w:val="00C52484"/>
    <w:rsid w:val="00C5371A"/>
    <w:rsid w:val="00C64A89"/>
    <w:rsid w:val="00C67D10"/>
    <w:rsid w:val="00C73E9F"/>
    <w:rsid w:val="00C87077"/>
    <w:rsid w:val="00CA3AE8"/>
    <w:rsid w:val="00CA5DF0"/>
    <w:rsid w:val="00CC49C0"/>
    <w:rsid w:val="00CC77AE"/>
    <w:rsid w:val="00CD6D25"/>
    <w:rsid w:val="00CE2BF7"/>
    <w:rsid w:val="00D005EA"/>
    <w:rsid w:val="00D015D6"/>
    <w:rsid w:val="00D167F7"/>
    <w:rsid w:val="00D301DC"/>
    <w:rsid w:val="00D405B6"/>
    <w:rsid w:val="00D41C99"/>
    <w:rsid w:val="00D43B0E"/>
    <w:rsid w:val="00D47181"/>
    <w:rsid w:val="00D72038"/>
    <w:rsid w:val="00D863C8"/>
    <w:rsid w:val="00D91A15"/>
    <w:rsid w:val="00DB0746"/>
    <w:rsid w:val="00DE0EE8"/>
    <w:rsid w:val="00E06CC9"/>
    <w:rsid w:val="00E14AFF"/>
    <w:rsid w:val="00E16A44"/>
    <w:rsid w:val="00E17B74"/>
    <w:rsid w:val="00E17C40"/>
    <w:rsid w:val="00E26E25"/>
    <w:rsid w:val="00E278AB"/>
    <w:rsid w:val="00E34B72"/>
    <w:rsid w:val="00E34CDE"/>
    <w:rsid w:val="00E52A90"/>
    <w:rsid w:val="00E6280A"/>
    <w:rsid w:val="00E66D88"/>
    <w:rsid w:val="00E672E3"/>
    <w:rsid w:val="00E67F58"/>
    <w:rsid w:val="00E83F84"/>
    <w:rsid w:val="00E867DA"/>
    <w:rsid w:val="00ED0080"/>
    <w:rsid w:val="00ED6B27"/>
    <w:rsid w:val="00EE5E08"/>
    <w:rsid w:val="00EF1A7D"/>
    <w:rsid w:val="00F27AC5"/>
    <w:rsid w:val="00F3346A"/>
    <w:rsid w:val="00F363C8"/>
    <w:rsid w:val="00F457CE"/>
    <w:rsid w:val="00F50DF6"/>
    <w:rsid w:val="00F60498"/>
    <w:rsid w:val="00F626B3"/>
    <w:rsid w:val="00F665FF"/>
    <w:rsid w:val="00F80DB4"/>
    <w:rsid w:val="00F936C6"/>
    <w:rsid w:val="00FA320A"/>
    <w:rsid w:val="00FA7FB6"/>
    <w:rsid w:val="00FB189B"/>
    <w:rsid w:val="00FE6709"/>
    <w:rsid w:val="00FF0AF2"/>
    <w:rsid w:val="00FF350D"/>
    <w:rsid w:val="473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pBdr>
        <w:top w:val="single" w:color="auto" w:sz="4" w:space="3"/>
        <w:bottom w:val="single" w:color="auto" w:sz="4" w:space="3"/>
      </w:pBdr>
      <w:spacing w:before="240" w:after="240" w:line="276" w:lineRule="auto"/>
      <w:jc w:val="center"/>
      <w:outlineLvl w:val="0"/>
    </w:pPr>
    <w:rPr>
      <w:rFonts w:asciiTheme="minorHAnsi" w:hAnsiTheme="minorHAnsi" w:cstheme="minorHAnsi"/>
      <w:bCs/>
      <w:spacing w:val="64"/>
      <w:kern w:val="32"/>
      <w:szCs w:val="22"/>
    </w:rPr>
  </w:style>
  <w:style w:type="paragraph" w:styleId="3">
    <w:name w:val="heading 2"/>
    <w:basedOn w:val="1"/>
    <w:next w:val="1"/>
    <w:qFormat/>
    <w:uiPriority w:val="0"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23"/>
    <w:semiHidden/>
    <w:unhideWhenUsed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4"/>
    <w:semiHidden/>
    <w:unhideWhenUsed/>
    <w:uiPriority w:val="99"/>
    <w:rPr>
      <w:b/>
      <w:bCs/>
    </w:rPr>
  </w:style>
  <w:style w:type="paragraph" w:styleId="11">
    <w:name w:val="footer"/>
    <w:basedOn w:val="1"/>
    <w:uiPriority w:val="0"/>
    <w:pPr>
      <w:tabs>
        <w:tab w:val="center" w:pos="4536"/>
        <w:tab w:val="right" w:pos="9072"/>
      </w:tabs>
    </w:p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3">
    <w:name w:val="footnote text"/>
    <w:basedOn w:val="1"/>
    <w:link w:val="21"/>
    <w:semiHidden/>
    <w:unhideWhenUsed/>
    <w:uiPriority w:val="99"/>
    <w:rPr>
      <w:sz w:val="20"/>
      <w:szCs w:val="20"/>
    </w:rPr>
  </w:style>
  <w:style w:type="paragraph" w:styleId="14">
    <w:name w:val="header"/>
    <w:basedOn w:val="1"/>
    <w:uiPriority w:val="0"/>
    <w:pPr>
      <w:tabs>
        <w:tab w:val="center" w:pos="4536"/>
        <w:tab w:val="right" w:pos="9072"/>
      </w:tabs>
    </w:pPr>
  </w:style>
  <w:style w:type="character" w:styleId="15">
    <w:name w:val="page number"/>
    <w:basedOn w:val="5"/>
    <w:uiPriority w:val="0"/>
  </w:style>
  <w:style w:type="paragraph" w:customStyle="1" w:styleId="16">
    <w:name w:val="Miejscowość"/>
    <w:basedOn w:val="1"/>
    <w:uiPriority w:val="0"/>
    <w:pPr>
      <w:spacing w:before="240" w:after="240"/>
      <w:jc w:val="right"/>
    </w:pPr>
    <w:rPr>
      <w:szCs w:val="20"/>
    </w:rPr>
  </w:style>
  <w:style w:type="paragraph" w:customStyle="1" w:styleId="17">
    <w:name w:val="Nagłówek dokumentu"/>
    <w:basedOn w:val="3"/>
    <w:next w:val="1"/>
    <w:uiPriority w:val="0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18">
    <w:name w:val="Tytuł dokumentu"/>
    <w:basedOn w:val="1"/>
    <w:next w:val="1"/>
    <w:uiPriority w:val="0"/>
    <w:pPr>
      <w:pBdr>
        <w:bottom w:val="double" w:color="auto" w:sz="6" w:space="8"/>
      </w:pBdr>
      <w:spacing w:after="360"/>
      <w:jc w:val="center"/>
    </w:pPr>
    <w:rPr>
      <w:spacing w:val="-3"/>
      <w:szCs w:val="20"/>
    </w:rPr>
  </w:style>
  <w:style w:type="character" w:customStyle="1" w:styleId="19">
    <w:name w:val="Tekst dymka Znak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20">
    <w:name w:val="Z dnia"/>
    <w:basedOn w:val="1"/>
    <w:next w:val="18"/>
    <w:uiPriority w:val="0"/>
    <w:pPr>
      <w:spacing w:after="240"/>
      <w:jc w:val="center"/>
    </w:pPr>
    <w:rPr>
      <w:sz w:val="20"/>
      <w:szCs w:val="20"/>
    </w:rPr>
  </w:style>
  <w:style w:type="character" w:customStyle="1" w:styleId="21">
    <w:name w:val="Tekst przypisu dolnego Znak"/>
    <w:basedOn w:val="5"/>
    <w:link w:val="13"/>
    <w:semiHidden/>
    <w:uiPriority w:val="99"/>
  </w:style>
  <w:style w:type="paragraph" w:customStyle="1" w:styleId="2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customStyle="1" w:styleId="23">
    <w:name w:val="Tekst komentarza Znak"/>
    <w:basedOn w:val="5"/>
    <w:link w:val="9"/>
    <w:semiHidden/>
    <w:uiPriority w:val="99"/>
  </w:style>
  <w:style w:type="character" w:customStyle="1" w:styleId="24">
    <w:name w:val="Temat komentarza Znak"/>
    <w:basedOn w:val="23"/>
    <w:link w:val="10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943B8-47D3-415C-ADD7-428DBA3E4F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Politechnika Wroclawska</Company>
  <Pages>1</Pages>
  <Words>248</Words>
  <Characters>1378</Characters>
  <Lines>11</Lines>
  <Paragraphs>3</Paragraphs>
  <TotalTime>0</TotalTime>
  <ScaleCrop>false</ScaleCrop>
  <LinksUpToDate>false</LinksUpToDate>
  <CharactersWithSpaces>1623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2025-06-12T09:26:00Z</dcterms:created>
  <dc:creator>Kamilla Zawisza</dc:creator>
  <cp:keywords>opłaty;studia</cp:keywords>
  <cp:lastModifiedBy>Marta Liszkowska</cp:lastModifiedBy>
  <cp:lastPrinted>2025-05-26T11:18:00Z</cp:lastPrinted>
  <dcterms:modified xsi:type="dcterms:W3CDTF">2025-06-12T12:44:57Z</dcterms:modified>
  <dc:title>ZW 70/2025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1045-12.2.0.21179</vt:lpwstr>
  </property>
  <property fmtid="{D5CDD505-2E9C-101B-9397-08002B2CF9AE}" pid="4" name="ICV">
    <vt:lpwstr>D2DBAC6AA8904D599BEFC28973D627DE_13</vt:lpwstr>
  </property>
</Properties>
</file>